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9" w:type="dxa"/>
        <w:tblInd w:w="-152" w:type="dxa"/>
        <w:tblLook w:val="04A0" w:firstRow="1" w:lastRow="0" w:firstColumn="1" w:lastColumn="0" w:noHBand="0" w:noVBand="1"/>
      </w:tblPr>
      <w:tblGrid>
        <w:gridCol w:w="3804"/>
        <w:gridCol w:w="6095"/>
      </w:tblGrid>
      <w:tr w:rsidR="00AC1874" w:rsidRPr="00F65A40" w:rsidTr="00DF4D88">
        <w:trPr>
          <w:trHeight w:val="354"/>
        </w:trPr>
        <w:tc>
          <w:tcPr>
            <w:tcW w:w="3804" w:type="dxa"/>
            <w:vAlign w:val="bottom"/>
            <w:hideMark/>
          </w:tcPr>
          <w:p w:rsidR="00AC1874" w:rsidRPr="00C13428" w:rsidRDefault="00AC1874" w:rsidP="00DF4D88">
            <w:pPr>
              <w:spacing w:after="0" w:line="240" w:lineRule="auto"/>
              <w:jc w:val="center"/>
              <w:rPr>
                <w:b/>
                <w:sz w:val="28"/>
                <w:szCs w:val="28"/>
              </w:rPr>
            </w:pPr>
            <w:r w:rsidRPr="00C13428">
              <w:rPr>
                <w:b/>
                <w:sz w:val="28"/>
                <w:szCs w:val="28"/>
              </w:rPr>
              <w:br w:type="page"/>
            </w:r>
            <w:r w:rsidRPr="00C13428">
              <w:rPr>
                <w:sz w:val="28"/>
                <w:szCs w:val="28"/>
              </w:rPr>
              <w:br w:type="page"/>
            </w:r>
            <w:r w:rsidRPr="00C13428">
              <w:rPr>
                <w:sz w:val="28"/>
                <w:szCs w:val="28"/>
              </w:rPr>
              <w:br w:type="page"/>
            </w:r>
            <w:r w:rsidRPr="00C13428">
              <w:rPr>
                <w:sz w:val="28"/>
                <w:szCs w:val="28"/>
              </w:rPr>
              <w:br w:type="page"/>
            </w:r>
            <w:r w:rsidRPr="00C13428">
              <w:rPr>
                <w:sz w:val="28"/>
                <w:szCs w:val="28"/>
              </w:rPr>
              <w:br w:type="page"/>
            </w:r>
            <w:r w:rsidRPr="00C13428">
              <w:rPr>
                <w:sz w:val="28"/>
                <w:szCs w:val="28"/>
              </w:rPr>
              <w:br w:type="page"/>
            </w:r>
            <w:r w:rsidRPr="00C13428">
              <w:rPr>
                <w:sz w:val="28"/>
                <w:szCs w:val="28"/>
              </w:rPr>
              <w:br w:type="page"/>
            </w:r>
            <w:r w:rsidRPr="00C13428">
              <w:rPr>
                <w:sz w:val="28"/>
                <w:szCs w:val="28"/>
              </w:rPr>
              <w:br w:type="page"/>
            </w:r>
            <w:r w:rsidRPr="00C13428">
              <w:rPr>
                <w:b/>
                <w:sz w:val="28"/>
                <w:szCs w:val="28"/>
              </w:rPr>
              <w:t xml:space="preserve">HỘI ĐỒNG NHÂN DÂN </w:t>
            </w:r>
          </w:p>
        </w:tc>
        <w:tc>
          <w:tcPr>
            <w:tcW w:w="6095" w:type="dxa"/>
            <w:vAlign w:val="bottom"/>
            <w:hideMark/>
          </w:tcPr>
          <w:p w:rsidR="00AC1874" w:rsidRPr="00F65A40" w:rsidRDefault="00AC1874" w:rsidP="00DF4D88">
            <w:pPr>
              <w:spacing w:after="0" w:line="240" w:lineRule="auto"/>
              <w:jc w:val="center"/>
              <w:rPr>
                <w:b/>
                <w:sz w:val="28"/>
              </w:rPr>
            </w:pPr>
            <w:r w:rsidRPr="00FD5BE7">
              <w:rPr>
                <w:b/>
                <w:sz w:val="26"/>
              </w:rPr>
              <w:t>CỘ</w:t>
            </w:r>
            <w:r w:rsidR="00056927" w:rsidRPr="00FD5BE7">
              <w:rPr>
                <w:b/>
                <w:sz w:val="26"/>
              </w:rPr>
              <w:t>NG HÒA</w:t>
            </w:r>
            <w:r w:rsidRPr="00FD5BE7">
              <w:rPr>
                <w:b/>
                <w:sz w:val="26"/>
              </w:rPr>
              <w:t xml:space="preserve"> XÃ HỘI CHỦ NGHĨA VIỆT NAM</w:t>
            </w:r>
          </w:p>
        </w:tc>
      </w:tr>
      <w:tr w:rsidR="00AC1874" w:rsidRPr="00F65A40" w:rsidTr="00DF4D88">
        <w:trPr>
          <w:trHeight w:val="364"/>
        </w:trPr>
        <w:tc>
          <w:tcPr>
            <w:tcW w:w="3804" w:type="dxa"/>
            <w:vAlign w:val="bottom"/>
            <w:hideMark/>
          </w:tcPr>
          <w:p w:rsidR="00AC1874" w:rsidRPr="00C13428" w:rsidRDefault="00AC1874" w:rsidP="00DF4D88">
            <w:pPr>
              <w:spacing w:after="0" w:line="240" w:lineRule="auto"/>
              <w:jc w:val="center"/>
              <w:rPr>
                <w:b/>
                <w:sz w:val="28"/>
                <w:szCs w:val="28"/>
              </w:rPr>
            </w:pPr>
            <w:r w:rsidRPr="00C13428">
              <w:rPr>
                <w:b/>
                <w:sz w:val="28"/>
                <w:szCs w:val="28"/>
              </w:rPr>
              <w:t>TỈNH PHÚ YÊN</w:t>
            </w:r>
          </w:p>
        </w:tc>
        <w:tc>
          <w:tcPr>
            <w:tcW w:w="6095" w:type="dxa"/>
            <w:vAlign w:val="bottom"/>
            <w:hideMark/>
          </w:tcPr>
          <w:p w:rsidR="00AC1874" w:rsidRPr="00F65A40" w:rsidRDefault="00AC1874" w:rsidP="00DF4D88">
            <w:pPr>
              <w:spacing w:after="0" w:line="240" w:lineRule="auto"/>
              <w:jc w:val="center"/>
              <w:rPr>
                <w:b/>
                <w:sz w:val="28"/>
              </w:rPr>
            </w:pPr>
            <w:r w:rsidRPr="00F65A40">
              <w:rPr>
                <w:b/>
                <w:sz w:val="28"/>
              </w:rPr>
              <w:t>Độc lập - Tự do - Hạnh phúc</w:t>
            </w:r>
          </w:p>
        </w:tc>
      </w:tr>
    </w:tbl>
    <w:p w:rsidR="00AC1874" w:rsidRPr="00F65A40" w:rsidRDefault="00221252" w:rsidP="00AC1874">
      <w:pPr>
        <w:spacing w:after="0" w:line="240" w:lineRule="auto"/>
        <w:rPr>
          <w:sz w:val="28"/>
        </w:rPr>
      </w:pPr>
      <w:r>
        <w:rPr>
          <w:noProof/>
          <w:sz w:val="28"/>
        </w:rPr>
        <mc:AlternateContent>
          <mc:Choice Requires="wps">
            <w:drawing>
              <wp:anchor distT="0" distB="0" distL="114300" distR="114300" simplePos="0" relativeHeight="251660288" behindDoc="0" locked="0" layoutInCell="1" allowOverlap="1" wp14:anchorId="502AE776" wp14:editId="18FE86AA">
                <wp:simplePos x="0" y="0"/>
                <wp:positionH relativeFrom="column">
                  <wp:posOffset>3189605</wp:posOffset>
                </wp:positionH>
                <wp:positionV relativeFrom="paragraph">
                  <wp:posOffset>14605</wp:posOffset>
                </wp:positionV>
                <wp:extent cx="1971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CCF92"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5pt,1.15pt" to="4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"/>
            </w:pict>
          </mc:Fallback>
        </mc:AlternateContent>
      </w:r>
      <w:r w:rsidR="00AC1874">
        <w:rPr>
          <w:noProof/>
          <w:sz w:val="28"/>
        </w:rPr>
        <mc:AlternateContent>
          <mc:Choice Requires="wps">
            <w:drawing>
              <wp:anchor distT="0" distB="0" distL="114300" distR="114300" simplePos="0" relativeHeight="251659264" behindDoc="0" locked="0" layoutInCell="1" allowOverlap="1" wp14:anchorId="1A388D57" wp14:editId="0692FE1A">
                <wp:simplePos x="0" y="0"/>
                <wp:positionH relativeFrom="column">
                  <wp:posOffset>600269</wp:posOffset>
                </wp:positionH>
                <wp:positionV relativeFrom="paragraph">
                  <wp:posOffset>6903</wp:posOffset>
                </wp:positionV>
                <wp:extent cx="838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684B"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5pt" to="11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WcIg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"/>
            </w:pict>
          </mc:Fallback>
        </mc:AlternateContent>
      </w:r>
    </w:p>
    <w:p w:rsidR="00AC1874" w:rsidRPr="00F65A40" w:rsidRDefault="00AC1874" w:rsidP="00AC1874">
      <w:pPr>
        <w:spacing w:after="0" w:line="240" w:lineRule="auto"/>
        <w:rPr>
          <w:sz w:val="28"/>
        </w:rPr>
      </w:pPr>
      <w:r w:rsidRPr="00F65A40">
        <w:rPr>
          <w:sz w:val="28"/>
        </w:rPr>
        <w:t xml:space="preserve">    Số</w:t>
      </w:r>
      <w:r w:rsidR="00451349">
        <w:rPr>
          <w:sz w:val="28"/>
        </w:rPr>
        <w:t>:  17</w:t>
      </w:r>
      <w:r w:rsidRPr="00F65A40">
        <w:rPr>
          <w:sz w:val="28"/>
        </w:rPr>
        <w:t xml:space="preserve">/2017/NQ-HĐND                  </w:t>
      </w:r>
      <w:r>
        <w:rPr>
          <w:i/>
          <w:sz w:val="28"/>
        </w:rPr>
        <w:t xml:space="preserve">Phú Yên, ngày </w:t>
      </w:r>
      <w:r w:rsidR="00873471">
        <w:rPr>
          <w:i/>
          <w:sz w:val="28"/>
        </w:rPr>
        <w:t>19</w:t>
      </w:r>
      <w:r>
        <w:rPr>
          <w:i/>
          <w:sz w:val="28"/>
        </w:rPr>
        <w:t xml:space="preserve"> tháng 7</w:t>
      </w:r>
      <w:r w:rsidRPr="00F65A40">
        <w:rPr>
          <w:i/>
          <w:sz w:val="28"/>
        </w:rPr>
        <w:t xml:space="preserve"> năm 2017</w:t>
      </w:r>
    </w:p>
    <w:p w:rsidR="00FD5BE7" w:rsidRDefault="00FD5BE7" w:rsidP="00FD5BE7">
      <w:pPr>
        <w:keepNext/>
        <w:spacing w:after="60" w:line="240" w:lineRule="auto"/>
        <w:jc w:val="center"/>
        <w:outlineLvl w:val="0"/>
        <w:rPr>
          <w:rFonts w:eastAsia="Times New Roman"/>
          <w:b/>
          <w:bCs/>
          <w:kern w:val="32"/>
          <w:sz w:val="28"/>
          <w:szCs w:val="28"/>
        </w:rPr>
      </w:pPr>
    </w:p>
    <w:p w:rsidR="00AC1874" w:rsidRPr="00F65A40" w:rsidRDefault="00AC1874" w:rsidP="00FD5BE7">
      <w:pPr>
        <w:keepNext/>
        <w:spacing w:after="60" w:line="240" w:lineRule="auto"/>
        <w:jc w:val="center"/>
        <w:outlineLvl w:val="0"/>
        <w:rPr>
          <w:rFonts w:eastAsia="Times New Roman"/>
          <w:b/>
          <w:bCs/>
          <w:kern w:val="32"/>
          <w:sz w:val="28"/>
          <w:szCs w:val="28"/>
        </w:rPr>
      </w:pPr>
      <w:r w:rsidRPr="00F65A40">
        <w:rPr>
          <w:rFonts w:eastAsia="Times New Roman"/>
          <w:b/>
          <w:bCs/>
          <w:kern w:val="32"/>
          <w:sz w:val="28"/>
          <w:szCs w:val="28"/>
        </w:rPr>
        <w:t>NGHỊ QUYẾT</w:t>
      </w:r>
    </w:p>
    <w:p w:rsidR="00AC1874" w:rsidRPr="00F65A40" w:rsidRDefault="00AC1874" w:rsidP="00AC1874">
      <w:pPr>
        <w:spacing w:after="0" w:line="240" w:lineRule="auto"/>
        <w:jc w:val="center"/>
        <w:rPr>
          <w:sz w:val="28"/>
        </w:rPr>
      </w:pPr>
      <w:r w:rsidRPr="00F65A40">
        <w:rPr>
          <w:b/>
          <w:sz w:val="28"/>
        </w:rPr>
        <w:t>Bãi bỏ một số Nghị quyết của Hội đồng nhân dân tỉnh</w:t>
      </w:r>
      <w:r w:rsidRPr="00F65A40">
        <w:rPr>
          <w:sz w:val="28"/>
        </w:rPr>
        <w:t xml:space="preserve"> </w:t>
      </w:r>
    </w:p>
    <w:p w:rsidR="00AC1874" w:rsidRPr="00F65A40" w:rsidRDefault="00AC1874" w:rsidP="00AC1874">
      <w:pPr>
        <w:spacing w:after="0" w:line="240" w:lineRule="auto"/>
        <w:jc w:val="center"/>
        <w:rPr>
          <w:b/>
          <w:sz w:val="28"/>
        </w:rPr>
      </w:pPr>
      <w:proofErr w:type="gramStart"/>
      <w:r w:rsidRPr="00F65A40">
        <w:rPr>
          <w:b/>
          <w:sz w:val="28"/>
        </w:rPr>
        <w:t>quy</w:t>
      </w:r>
      <w:proofErr w:type="gramEnd"/>
      <w:r w:rsidRPr="00F65A40">
        <w:rPr>
          <w:b/>
          <w:sz w:val="28"/>
        </w:rPr>
        <w:t xml:space="preserve"> định về phí, lệ phí và mức chi đặc thù</w:t>
      </w:r>
      <w:bookmarkStart w:id="0" w:name="_GoBack"/>
      <w:bookmarkEnd w:id="0"/>
    </w:p>
    <w:p w:rsidR="00AC1874" w:rsidRPr="00F65A40" w:rsidRDefault="00AC1874" w:rsidP="00AC1874">
      <w:pPr>
        <w:spacing w:after="0" w:line="240" w:lineRule="auto"/>
        <w:jc w:val="center"/>
        <w:rPr>
          <w:b/>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2214438</wp:posOffset>
                </wp:positionH>
                <wp:positionV relativeFrom="paragraph">
                  <wp:posOffset>29707</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8F9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2.35pt" to="273.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"/>
            </w:pict>
          </mc:Fallback>
        </mc:AlternateContent>
      </w:r>
    </w:p>
    <w:p w:rsidR="00AC1874" w:rsidRPr="00F65A40" w:rsidRDefault="00AC1874" w:rsidP="00FB3E85">
      <w:pPr>
        <w:spacing w:before="240" w:after="0" w:line="240" w:lineRule="auto"/>
        <w:jc w:val="center"/>
        <w:rPr>
          <w:b/>
          <w:sz w:val="28"/>
        </w:rPr>
      </w:pPr>
      <w:r w:rsidRPr="00F65A40">
        <w:rPr>
          <w:b/>
          <w:sz w:val="28"/>
        </w:rPr>
        <w:t>HỘI ĐỒNG NHÂN DÂN TỈNH PHÚ YÊN</w:t>
      </w:r>
    </w:p>
    <w:p w:rsidR="00AC1874" w:rsidRPr="00F65A40" w:rsidRDefault="00AC1874" w:rsidP="00AC1874">
      <w:pPr>
        <w:spacing w:after="0" w:line="240" w:lineRule="auto"/>
        <w:jc w:val="center"/>
        <w:rPr>
          <w:b/>
          <w:sz w:val="28"/>
        </w:rPr>
      </w:pPr>
      <w:r w:rsidRPr="00F65A40">
        <w:rPr>
          <w:b/>
          <w:sz w:val="28"/>
        </w:rPr>
        <w:t xml:space="preserve">KHOÁ </w:t>
      </w:r>
      <w:r>
        <w:rPr>
          <w:b/>
          <w:sz w:val="28"/>
        </w:rPr>
        <w:t>VII</w:t>
      </w:r>
      <w:r w:rsidRPr="00F65A40">
        <w:rPr>
          <w:b/>
          <w:sz w:val="28"/>
        </w:rPr>
        <w:t>, KỲ HỌP THỨ</w:t>
      </w:r>
      <w:r>
        <w:rPr>
          <w:b/>
          <w:sz w:val="28"/>
        </w:rPr>
        <w:t xml:space="preserve"> 4</w:t>
      </w:r>
    </w:p>
    <w:p w:rsidR="00AC1874" w:rsidRPr="001618AF" w:rsidRDefault="00AC1874" w:rsidP="001618AF">
      <w:pPr>
        <w:widowControl w:val="0"/>
        <w:spacing w:before="240" w:after="60" w:line="264" w:lineRule="auto"/>
        <w:ind w:firstLine="720"/>
        <w:jc w:val="both"/>
        <w:rPr>
          <w:i/>
          <w:spacing w:val="-6"/>
          <w:sz w:val="28"/>
        </w:rPr>
      </w:pPr>
      <w:r w:rsidRPr="001618AF">
        <w:rPr>
          <w:i/>
          <w:spacing w:val="-6"/>
          <w:sz w:val="28"/>
        </w:rPr>
        <w:t>Căn cứ Luật Tổ chức chính quyền địa phương ngày 19 tháng 6 năm 2015;</w:t>
      </w:r>
    </w:p>
    <w:p w:rsidR="00AC1874" w:rsidRPr="00643266" w:rsidRDefault="00AC1874" w:rsidP="00AC1874">
      <w:pPr>
        <w:widowControl w:val="0"/>
        <w:spacing w:before="60" w:after="60" w:line="264" w:lineRule="auto"/>
        <w:ind w:firstLine="720"/>
        <w:rPr>
          <w:i/>
          <w:spacing w:val="-10"/>
          <w:sz w:val="28"/>
        </w:rPr>
      </w:pPr>
      <w:r w:rsidRPr="00643266">
        <w:rPr>
          <w:i/>
          <w:spacing w:val="-10"/>
          <w:sz w:val="28"/>
        </w:rPr>
        <w:t xml:space="preserve">Căn cứ Luật Ban hành văn bản quy phạm pháp luật ngày 22 tháng 6 năm </w:t>
      </w:r>
      <w:proofErr w:type="gramStart"/>
      <w:r w:rsidRPr="00643266">
        <w:rPr>
          <w:i/>
          <w:spacing w:val="-10"/>
          <w:sz w:val="28"/>
        </w:rPr>
        <w:t>2015;</w:t>
      </w:r>
      <w:proofErr w:type="gramEnd"/>
    </w:p>
    <w:p w:rsidR="00AC1874" w:rsidRPr="00F65A40" w:rsidRDefault="00AC1874" w:rsidP="00AC1874">
      <w:pPr>
        <w:widowControl w:val="0"/>
        <w:spacing w:before="60" w:after="60" w:line="264" w:lineRule="auto"/>
        <w:ind w:firstLine="720"/>
        <w:jc w:val="both"/>
        <w:rPr>
          <w:i/>
          <w:sz w:val="28"/>
        </w:rPr>
      </w:pPr>
      <w:r w:rsidRPr="00F65A40">
        <w:rPr>
          <w:i/>
          <w:sz w:val="28"/>
        </w:rPr>
        <w:t>Căn cứ Luật Phí và Lệ phí ngày 25 tháng 11 năm 2015;</w:t>
      </w:r>
    </w:p>
    <w:p w:rsidR="00AC1874" w:rsidRPr="00F65A40" w:rsidRDefault="00AC1874" w:rsidP="00AC1874">
      <w:pPr>
        <w:widowControl w:val="0"/>
        <w:spacing w:before="60" w:after="60" w:line="264" w:lineRule="auto"/>
        <w:ind w:firstLine="720"/>
        <w:jc w:val="both"/>
        <w:rPr>
          <w:i/>
          <w:sz w:val="28"/>
        </w:rPr>
      </w:pPr>
      <w:r w:rsidRPr="00F65A40">
        <w:rPr>
          <w:i/>
          <w:sz w:val="28"/>
        </w:rPr>
        <w:t>Căn cứ Nghị định số 120/2016/NĐ-CP ngày 23 tháng 8 năm 2016 của Chính phủ về quy định chi tiết và hướng dẫn một số điều của Luật Phí và lệ phí;</w:t>
      </w:r>
    </w:p>
    <w:p w:rsidR="00AC1874" w:rsidRPr="00F65A40" w:rsidRDefault="00AC1874" w:rsidP="00AC1874">
      <w:pPr>
        <w:widowControl w:val="0"/>
        <w:spacing w:after="0" w:line="240" w:lineRule="auto"/>
        <w:ind w:firstLine="720"/>
        <w:jc w:val="both"/>
        <w:rPr>
          <w:i/>
          <w:sz w:val="28"/>
        </w:rPr>
      </w:pPr>
      <w:r w:rsidRPr="00F65A40">
        <w:rPr>
          <w:i/>
          <w:sz w:val="28"/>
        </w:rPr>
        <w:t>Căn cứ Thông tư số 250/2016/TT-BTC ngày 11 tháng 11 năm 2016 của Bộ trưởng Bộ Tài chính hướng dẫn về phí và lệ phí thuộc thẩm quyền quyết định của HĐND tỉnh, thành phố trực thuộc Trung ương;</w:t>
      </w:r>
    </w:p>
    <w:p w:rsidR="00AC1874" w:rsidRPr="00643266" w:rsidRDefault="00AC1874" w:rsidP="00AC1874">
      <w:pPr>
        <w:widowControl w:val="0"/>
        <w:spacing w:before="60" w:after="60" w:line="264" w:lineRule="auto"/>
        <w:ind w:firstLine="720"/>
        <w:jc w:val="both"/>
        <w:rPr>
          <w:i/>
          <w:spacing w:val="-8"/>
          <w:sz w:val="28"/>
        </w:rPr>
      </w:pPr>
      <w:r w:rsidRPr="00643266">
        <w:rPr>
          <w:i/>
          <w:spacing w:val="-8"/>
          <w:sz w:val="28"/>
          <w:szCs w:val="28"/>
        </w:rPr>
        <w:t>Căn cứ Thông tư liên tịch số 46/2016/TTLT-BTC-BVHTTDL ngày 11 tháng 3 năm 2016 của Bộ Tài chính - Bộ Văn hóa, Thể thao và Du lịch hướng dẫn chế độ quản lý đặc thù đối với Đội tuyên truyền lưu động cấp tỉnh và cấp huyện;</w:t>
      </w:r>
    </w:p>
    <w:p w:rsidR="00AC1874" w:rsidRPr="004128EE" w:rsidRDefault="00AC1874" w:rsidP="00AC1874">
      <w:pPr>
        <w:spacing w:before="120" w:after="120" w:line="240" w:lineRule="auto"/>
        <w:jc w:val="both"/>
        <w:rPr>
          <w:i/>
          <w:spacing w:val="-2"/>
          <w:sz w:val="28"/>
        </w:rPr>
      </w:pPr>
      <w:r w:rsidRPr="00F65A40">
        <w:rPr>
          <w:sz w:val="28"/>
        </w:rPr>
        <w:tab/>
      </w:r>
      <w:r w:rsidRPr="003270E7">
        <w:rPr>
          <w:i/>
          <w:sz w:val="28"/>
        </w:rPr>
        <w:t>Xét Tờ trình số 60/TTr-UBND ngày 26 tháng 6 năm 2017 của Ủ</w:t>
      </w:r>
      <w:r w:rsidR="00122BCD" w:rsidRPr="003270E7">
        <w:rPr>
          <w:i/>
          <w:sz w:val="28"/>
        </w:rPr>
        <w:t>y ban nhân dân t</w:t>
      </w:r>
      <w:r w:rsidRPr="003270E7">
        <w:rPr>
          <w:i/>
          <w:sz w:val="28"/>
        </w:rPr>
        <w:t xml:space="preserve">ỉnh về việc bãi bỏ một số Nghị quyết của Hội đồng nhân dân tỉnh quy định về phí, lệ phí và mức chi đặc thù; Báo cáo thẩm tra của Ban Kinh tế - Ngân sách Hội đồng nhân dân tỉnh; </w:t>
      </w:r>
      <w:r w:rsidRPr="003270E7">
        <w:rPr>
          <w:i/>
          <w:sz w:val="28"/>
          <w:szCs w:val="28"/>
        </w:rPr>
        <w:t xml:space="preserve">ý kiến thảo luận của đại biểu Hội đồng </w:t>
      </w:r>
      <w:proofErr w:type="gramStart"/>
      <w:r w:rsidRPr="003270E7">
        <w:rPr>
          <w:i/>
          <w:sz w:val="28"/>
          <w:szCs w:val="28"/>
        </w:rPr>
        <w:t>nhân</w:t>
      </w:r>
      <w:proofErr w:type="gramEnd"/>
      <w:r w:rsidRPr="003270E7">
        <w:rPr>
          <w:i/>
          <w:sz w:val="28"/>
          <w:szCs w:val="28"/>
        </w:rPr>
        <w:t xml:space="preserve"> dân </w:t>
      </w:r>
      <w:r w:rsidR="00D15BAC" w:rsidRPr="003270E7">
        <w:rPr>
          <w:i/>
          <w:sz w:val="28"/>
          <w:szCs w:val="28"/>
        </w:rPr>
        <w:t xml:space="preserve">tỉnh </w:t>
      </w:r>
      <w:r w:rsidRPr="003270E7">
        <w:rPr>
          <w:i/>
          <w:sz w:val="28"/>
          <w:szCs w:val="28"/>
        </w:rPr>
        <w:t>tại kỳ họp</w:t>
      </w:r>
      <w:r w:rsidRPr="00C13428">
        <w:rPr>
          <w:i/>
          <w:spacing w:val="-2"/>
          <w:sz w:val="28"/>
          <w:szCs w:val="28"/>
        </w:rPr>
        <w:t>.</w:t>
      </w:r>
    </w:p>
    <w:p w:rsidR="00AC1874" w:rsidRPr="00F65A40" w:rsidRDefault="00AC1874" w:rsidP="00AC1874">
      <w:pPr>
        <w:spacing w:before="120" w:after="120" w:line="240" w:lineRule="auto"/>
        <w:jc w:val="both"/>
        <w:rPr>
          <w:b/>
          <w:sz w:val="12"/>
        </w:rPr>
      </w:pPr>
    </w:p>
    <w:p w:rsidR="00AC1874" w:rsidRPr="00F65A40" w:rsidRDefault="00AC1874" w:rsidP="00AC1874">
      <w:pPr>
        <w:spacing w:before="120" w:after="120" w:line="240" w:lineRule="auto"/>
        <w:jc w:val="center"/>
        <w:rPr>
          <w:b/>
          <w:sz w:val="28"/>
        </w:rPr>
      </w:pPr>
      <w:r w:rsidRPr="00F65A40">
        <w:rPr>
          <w:b/>
          <w:sz w:val="28"/>
        </w:rPr>
        <w:t>QUYẾT NGHỊ:</w:t>
      </w:r>
    </w:p>
    <w:p w:rsidR="00AC1874" w:rsidRPr="00F65A40" w:rsidRDefault="00AC1874" w:rsidP="00AC1874">
      <w:pPr>
        <w:spacing w:before="120" w:after="120" w:line="240" w:lineRule="auto"/>
        <w:jc w:val="center"/>
        <w:rPr>
          <w:b/>
          <w:sz w:val="18"/>
        </w:rPr>
      </w:pPr>
    </w:p>
    <w:p w:rsidR="00AC1874" w:rsidRPr="00F65A40" w:rsidRDefault="00AC1874" w:rsidP="00AC1874">
      <w:pPr>
        <w:spacing w:before="120" w:after="120" w:line="240" w:lineRule="auto"/>
        <w:jc w:val="both"/>
        <w:rPr>
          <w:sz w:val="28"/>
        </w:rPr>
      </w:pPr>
      <w:r w:rsidRPr="00F65A40">
        <w:rPr>
          <w:sz w:val="28"/>
        </w:rPr>
        <w:tab/>
      </w:r>
      <w:r w:rsidRPr="00F65A40">
        <w:rPr>
          <w:b/>
          <w:sz w:val="28"/>
        </w:rPr>
        <w:t>Điều 1.</w:t>
      </w:r>
      <w:r w:rsidRPr="00F65A40">
        <w:rPr>
          <w:sz w:val="28"/>
        </w:rPr>
        <w:t xml:space="preserve"> Bãi bỏ một số Nghị quyết của Hội đồng nhân dân tỉnh quy định về phí, lệ phí và mức chi đặc thù sau đây:</w:t>
      </w:r>
    </w:p>
    <w:p w:rsidR="00AC1874" w:rsidRPr="00F65A40" w:rsidRDefault="00AC1874" w:rsidP="00AC1874">
      <w:pPr>
        <w:tabs>
          <w:tab w:val="left" w:pos="709"/>
        </w:tabs>
        <w:spacing w:before="120" w:after="120" w:line="240" w:lineRule="auto"/>
        <w:jc w:val="both"/>
        <w:rPr>
          <w:sz w:val="28"/>
        </w:rPr>
      </w:pPr>
      <w:r w:rsidRPr="00F65A40">
        <w:rPr>
          <w:sz w:val="28"/>
        </w:rPr>
        <w:tab/>
        <w:t xml:space="preserve">1. Nghị quyết số 54/2012/NQ-HĐND ngày 14/9/2012 của Hội đồng nhân dân tỉnh về việc quy định mức </w:t>
      </w:r>
      <w:proofErr w:type="gramStart"/>
      <w:r w:rsidRPr="00F65A40">
        <w:rPr>
          <w:sz w:val="28"/>
        </w:rPr>
        <w:t>thu</w:t>
      </w:r>
      <w:proofErr w:type="gramEnd"/>
      <w:r w:rsidRPr="00F65A40">
        <w:rPr>
          <w:sz w:val="28"/>
        </w:rPr>
        <w:t xml:space="preserve"> và quản lý, sử dụng phí đấu giá, phí tham gia đấu giá tài sản trên địa bàn tỉnh.</w:t>
      </w:r>
    </w:p>
    <w:p w:rsidR="00AC1874" w:rsidRPr="00F65A40" w:rsidRDefault="00AC1874" w:rsidP="00AC1874">
      <w:pPr>
        <w:tabs>
          <w:tab w:val="left" w:pos="709"/>
        </w:tabs>
        <w:spacing w:before="120" w:after="120" w:line="240" w:lineRule="auto"/>
        <w:jc w:val="both"/>
        <w:rPr>
          <w:color w:val="000000"/>
          <w:sz w:val="28"/>
          <w:szCs w:val="28"/>
          <w:shd w:val="clear" w:color="auto" w:fill="FFFFFF"/>
        </w:rPr>
      </w:pPr>
      <w:r w:rsidRPr="00F65A40">
        <w:rPr>
          <w:sz w:val="28"/>
        </w:rPr>
        <w:tab/>
        <w:t xml:space="preserve">2. Nghị </w:t>
      </w:r>
      <w:r w:rsidRPr="00F65A40">
        <w:rPr>
          <w:sz w:val="28"/>
          <w:szCs w:val="28"/>
        </w:rPr>
        <w:t>quyết số</w:t>
      </w:r>
      <w:r>
        <w:rPr>
          <w:sz w:val="28"/>
          <w:szCs w:val="28"/>
        </w:rPr>
        <w:t xml:space="preserve"> </w:t>
      </w:r>
      <w:r w:rsidRPr="00F65A40">
        <w:rPr>
          <w:sz w:val="28"/>
          <w:szCs w:val="28"/>
        </w:rPr>
        <w:t xml:space="preserve">166/2015/NQ-HĐND ngày 25/12/2015 của Hội đồng nhân dân tỉnh về việc </w:t>
      </w:r>
      <w:r w:rsidRPr="00F65A40">
        <w:rPr>
          <w:color w:val="000000"/>
          <w:sz w:val="28"/>
          <w:szCs w:val="28"/>
          <w:shd w:val="clear" w:color="auto" w:fill="FFFFFF"/>
        </w:rPr>
        <w:t>quy định mức thu, quản lý lệ phí cấp giấy phép thăm dò, khai thác, sử dụng nước dưới đất; lệ phí cấp giấy phép khai thác, sử dụng nước mặt; lệ phí cấp giấy phép xả nước thải vào nguồn nước trên địa bàn tỉnh.</w:t>
      </w:r>
    </w:p>
    <w:p w:rsidR="00AC1874" w:rsidRPr="00F65A40" w:rsidRDefault="00AC1874" w:rsidP="00AC1874">
      <w:pPr>
        <w:tabs>
          <w:tab w:val="left" w:pos="709"/>
        </w:tabs>
        <w:spacing w:before="120" w:after="120" w:line="240" w:lineRule="auto"/>
        <w:jc w:val="both"/>
        <w:rPr>
          <w:color w:val="000000"/>
          <w:sz w:val="28"/>
          <w:szCs w:val="28"/>
          <w:shd w:val="clear" w:color="auto" w:fill="FFFFFF"/>
        </w:rPr>
      </w:pPr>
      <w:r w:rsidRPr="00F65A40">
        <w:rPr>
          <w:color w:val="000000"/>
          <w:sz w:val="28"/>
          <w:szCs w:val="28"/>
          <w:shd w:val="clear" w:color="auto" w:fill="FFFFFF"/>
        </w:rPr>
        <w:lastRenderedPageBreak/>
        <w:tab/>
        <w:t>3. Nghị quyết số 95/2013/NQ-HĐND ngày 12/12/2013 của Hội đồng nhân dân tỉnh về việc sửa đổi Nghị quyết số 39/2011/NQ-HĐND ngày 16/12/2011 của HĐND tỉnh về quy định mức thu, chế độ quản lý, sử dụng lệ phí trước bạ đối với xe ô tô chở người dưới 10 chỗ ngồi, phí thẩm định cấp phép vật liệu nổ công nghiệp; mức thu lệ phí đăng ký giao dịch bảo đảm, phí cung cấp thông tin về giao dịch bảo đảm và phí trông giữ xe đạp, xe máy, mô tô, ô tô, phí vệ sinh và phí chợ trên địa bàn tỉnh.</w:t>
      </w:r>
    </w:p>
    <w:p w:rsidR="00AC1874" w:rsidRPr="00F65A40" w:rsidRDefault="00AC1874" w:rsidP="00AC1874">
      <w:pPr>
        <w:tabs>
          <w:tab w:val="left" w:pos="709"/>
        </w:tabs>
        <w:spacing w:before="120" w:after="120" w:line="240" w:lineRule="auto"/>
        <w:ind w:firstLine="567"/>
        <w:jc w:val="both"/>
        <w:rPr>
          <w:sz w:val="28"/>
          <w:szCs w:val="28"/>
        </w:rPr>
      </w:pPr>
      <w:r w:rsidRPr="00F65A40">
        <w:rPr>
          <w:color w:val="000000"/>
          <w:sz w:val="28"/>
          <w:szCs w:val="28"/>
          <w:shd w:val="clear" w:color="auto" w:fill="FFFFFF"/>
        </w:rPr>
        <w:tab/>
        <w:t xml:space="preserve">4. </w:t>
      </w:r>
      <w:r w:rsidRPr="00F65A40">
        <w:rPr>
          <w:sz w:val="28"/>
          <w:szCs w:val="28"/>
        </w:rPr>
        <w:t>Nghị quyết số 123/2014/NQ-HĐND ngày 12/12/2014 của Hội đồng nhân dân tỉnh quy định định mức hoạt động, mức chi đặc thù của Đội tuyên truyền lưu động và Đội nghệ thuật quần chúng tỉnh, huyện, thị xã, thành phố trên địa bàn tỉnh.</w:t>
      </w:r>
    </w:p>
    <w:p w:rsidR="00AC1874" w:rsidRPr="00F65A40" w:rsidRDefault="00AC1874" w:rsidP="00AC1874">
      <w:pPr>
        <w:spacing w:before="60" w:after="60" w:line="240" w:lineRule="auto"/>
        <w:ind w:firstLine="720"/>
        <w:jc w:val="both"/>
        <w:rPr>
          <w:sz w:val="28"/>
        </w:rPr>
      </w:pPr>
      <w:r w:rsidRPr="00F65A40">
        <w:rPr>
          <w:b/>
          <w:sz w:val="28"/>
        </w:rPr>
        <w:t>Điều 2.</w:t>
      </w:r>
      <w:r w:rsidRPr="00F65A40">
        <w:rPr>
          <w:sz w:val="28"/>
        </w:rPr>
        <w:t xml:space="preserve"> Tổ chức thực hiện</w:t>
      </w:r>
    </w:p>
    <w:p w:rsidR="00AC1874" w:rsidRPr="00F65A40" w:rsidRDefault="00AC1874" w:rsidP="00AC1874">
      <w:pPr>
        <w:spacing w:before="120" w:after="120" w:line="240" w:lineRule="auto"/>
        <w:jc w:val="both"/>
        <w:rPr>
          <w:sz w:val="28"/>
        </w:rPr>
      </w:pPr>
      <w:r w:rsidRPr="00F65A40">
        <w:rPr>
          <w:sz w:val="28"/>
        </w:rPr>
        <w:tab/>
        <w:t>Hội đồng nhân dân tỉnh giao:</w:t>
      </w:r>
    </w:p>
    <w:p w:rsidR="00AC1874" w:rsidRPr="00F65A40" w:rsidRDefault="00AC1874" w:rsidP="00AC1874">
      <w:pPr>
        <w:spacing w:before="120" w:after="120" w:line="240" w:lineRule="auto"/>
        <w:jc w:val="both"/>
        <w:rPr>
          <w:sz w:val="28"/>
        </w:rPr>
      </w:pPr>
      <w:r w:rsidRPr="00F65A40">
        <w:rPr>
          <w:sz w:val="28"/>
        </w:rPr>
        <w:tab/>
        <w:t>1. Uỷ ban nhân dân tỉnh tổ chức triển khai thực hiện Nghị quyết này.</w:t>
      </w:r>
    </w:p>
    <w:p w:rsidR="00AC1874" w:rsidRPr="00F65A40" w:rsidRDefault="00AC1874" w:rsidP="00AC1874">
      <w:pPr>
        <w:spacing w:before="120" w:after="120" w:line="240" w:lineRule="auto"/>
        <w:jc w:val="both"/>
        <w:rPr>
          <w:sz w:val="28"/>
        </w:rPr>
      </w:pPr>
      <w:r w:rsidRPr="00F65A40">
        <w:rPr>
          <w:sz w:val="28"/>
        </w:rPr>
        <w:tab/>
        <w:t xml:space="preserve">2. Thường trực </w:t>
      </w:r>
      <w:r w:rsidRPr="00F65A40">
        <w:rPr>
          <w:sz w:val="28"/>
          <w:szCs w:val="28"/>
        </w:rPr>
        <w:t>Hội đồng nhân dân</w:t>
      </w:r>
      <w:r w:rsidRPr="00F65A40">
        <w:rPr>
          <w:sz w:val="28"/>
        </w:rPr>
        <w:t xml:space="preserve">, các Ban của </w:t>
      </w:r>
      <w:r w:rsidRPr="00F65A40">
        <w:rPr>
          <w:sz w:val="28"/>
          <w:szCs w:val="28"/>
        </w:rPr>
        <w:t>Hội đồng nhân dân</w:t>
      </w:r>
      <w:r w:rsidRPr="00F65A40">
        <w:rPr>
          <w:sz w:val="28"/>
        </w:rPr>
        <w:t xml:space="preserve"> và đại biểu </w:t>
      </w:r>
      <w:r w:rsidRPr="00F65A40">
        <w:rPr>
          <w:sz w:val="28"/>
          <w:szCs w:val="28"/>
        </w:rPr>
        <w:t>Hội đồng nhân dân</w:t>
      </w:r>
      <w:r w:rsidRPr="00F65A40">
        <w:rPr>
          <w:sz w:val="28"/>
        </w:rPr>
        <w:t xml:space="preserve"> tỉnh căn cứ chức năng, nhiệm vụ, quyền hạn theo luật định tăng cường đôn đốc, kiểm tra, giám sát việc thực hiện.</w:t>
      </w:r>
    </w:p>
    <w:p w:rsidR="00AC1874" w:rsidRDefault="00AC1874" w:rsidP="00AC1874">
      <w:pPr>
        <w:widowControl w:val="0"/>
        <w:spacing w:before="60" w:after="60" w:line="264" w:lineRule="auto"/>
        <w:ind w:firstLine="560"/>
        <w:jc w:val="both"/>
        <w:rPr>
          <w:sz w:val="28"/>
        </w:rPr>
      </w:pPr>
      <w:r w:rsidRPr="00F65A40">
        <w:rPr>
          <w:sz w:val="28"/>
        </w:rPr>
        <w:t>Nghị quyết này đã được Hội đồng nhân dân tỉ</w:t>
      </w:r>
      <w:r>
        <w:rPr>
          <w:sz w:val="28"/>
        </w:rPr>
        <w:t>nh Phú Yên K</w:t>
      </w:r>
      <w:r w:rsidRPr="00F65A40">
        <w:rPr>
          <w:sz w:val="28"/>
        </w:rPr>
        <w:t xml:space="preserve">hoá </w:t>
      </w:r>
      <w:r>
        <w:rPr>
          <w:sz w:val="28"/>
        </w:rPr>
        <w:t>VII,</w:t>
      </w:r>
      <w:r w:rsidR="00250B6A">
        <w:rPr>
          <w:sz w:val="28"/>
        </w:rPr>
        <w:t xml:space="preserve"> K</w:t>
      </w:r>
      <w:r w:rsidRPr="00F65A40">
        <w:rPr>
          <w:sz w:val="28"/>
        </w:rPr>
        <w:t xml:space="preserve">ỳ họp thứ </w:t>
      </w:r>
      <w:r>
        <w:rPr>
          <w:sz w:val="28"/>
        </w:rPr>
        <w:t>4</w:t>
      </w:r>
      <w:r w:rsidRPr="00F65A40">
        <w:rPr>
          <w:sz w:val="28"/>
        </w:rPr>
        <w:t xml:space="preserve"> thông qua ngày </w:t>
      </w:r>
      <w:r>
        <w:rPr>
          <w:sz w:val="28"/>
        </w:rPr>
        <w:t>13</w:t>
      </w:r>
      <w:r w:rsidRPr="00F65A40">
        <w:rPr>
          <w:sz w:val="28"/>
        </w:rPr>
        <w:t xml:space="preserve"> tháng 7 năm 2017 và có hiệu lực từ ngày </w:t>
      </w:r>
      <w:r w:rsidR="001C7234">
        <w:rPr>
          <w:sz w:val="28"/>
        </w:rPr>
        <w:t>23</w:t>
      </w:r>
      <w:r w:rsidRPr="00F65A40">
        <w:rPr>
          <w:sz w:val="28"/>
        </w:rPr>
        <w:t xml:space="preserve"> tháng </w:t>
      </w:r>
      <w:r w:rsidR="001C7234">
        <w:rPr>
          <w:sz w:val="28"/>
        </w:rPr>
        <w:t>7</w:t>
      </w:r>
      <w:r w:rsidRPr="00F65A40">
        <w:rPr>
          <w:sz w:val="28"/>
        </w:rPr>
        <w:t xml:space="preserve"> năm 2017./.</w:t>
      </w:r>
    </w:p>
    <w:p w:rsidR="00995FCC" w:rsidRDefault="00995FCC" w:rsidP="00AC1874">
      <w:pPr>
        <w:widowControl w:val="0"/>
        <w:spacing w:before="60" w:after="60" w:line="264" w:lineRule="auto"/>
        <w:ind w:firstLine="560"/>
        <w:jc w:val="both"/>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16"/>
      </w:tblGrid>
      <w:tr w:rsidR="00AC1874" w:rsidRPr="00122BCD" w:rsidTr="00AC1874">
        <w:tc>
          <w:tcPr>
            <w:tcW w:w="4717" w:type="dxa"/>
          </w:tcPr>
          <w:p w:rsidR="00AC1874" w:rsidRPr="00F65A40" w:rsidRDefault="00AC1874" w:rsidP="00DF4D88">
            <w:pPr>
              <w:spacing w:after="120"/>
              <w:jc w:val="both"/>
              <w:rPr>
                <w:rFonts w:ascii="Times New Roman" w:hAnsi="Times New Roman"/>
                <w:b/>
                <w:sz w:val="28"/>
              </w:rPr>
            </w:pPr>
            <w:r w:rsidRPr="00F65A40">
              <w:rPr>
                <w:rFonts w:ascii="Times New Roman" w:hAnsi="Times New Roman"/>
                <w:b/>
                <w:i/>
                <w:sz w:val="24"/>
                <w:szCs w:val="24"/>
              </w:rPr>
              <w:t>Nơi nhận:</w:t>
            </w:r>
            <w:r>
              <w:rPr>
                <w:rFonts w:ascii="Times New Roman" w:hAnsi="Times New Roman"/>
                <w:b/>
                <w:sz w:val="28"/>
              </w:rPr>
              <w:tab/>
            </w:r>
            <w:r>
              <w:rPr>
                <w:rFonts w:ascii="Times New Roman" w:hAnsi="Times New Roman"/>
                <w:b/>
                <w:sz w:val="28"/>
              </w:rPr>
              <w:tab/>
            </w:r>
            <w:r w:rsidRPr="00F65A40">
              <w:rPr>
                <w:rFonts w:ascii="Times New Roman" w:hAnsi="Times New Roman"/>
                <w:b/>
                <w:sz w:val="28"/>
              </w:rPr>
              <w:tab/>
            </w:r>
            <w:r w:rsidRPr="00F65A40">
              <w:rPr>
                <w:rFonts w:ascii="Times New Roman" w:hAnsi="Times New Roman"/>
                <w:b/>
                <w:sz w:val="28"/>
              </w:rPr>
              <w:tab/>
            </w:r>
            <w:r w:rsidRPr="00F65A40">
              <w:rPr>
                <w:rFonts w:ascii="Times New Roman" w:hAnsi="Times New Roman"/>
                <w:b/>
                <w:sz w:val="28"/>
              </w:rPr>
              <w:tab/>
              <w:t xml:space="preserve">    </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xml:space="preserve">- UBTVQH; Ban CTĐB;                                          </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Chính phủ;</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Vụ pháp chế-BTC;</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Cục kiểm tra VBQPPL-BTP;</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TT.Tỉnh ủy;</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Đoàn ĐBQH tỉnh;</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TT.HĐND, UBND, UBMTTQVN tỉnh,</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xml:space="preserve">- Viện KSND, TAND, Cục THADS tỉnh; </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Các đại biểu HĐND tỉnh;</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VP: Tỉnh ủy, HĐND, UBND, Đ.ĐBQH tỉnh;</w:t>
            </w:r>
            <w:r w:rsidRPr="00BA22AC">
              <w:rPr>
                <w:rFonts w:ascii="Times New Roman" w:hAnsi="Times New Roman"/>
                <w:sz w:val="22"/>
                <w:lang w:val="pt-BR"/>
              </w:rPr>
              <w:tab/>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Các sở, ban, ngành, đoàn thể tỉnh;</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TT.HĐND, UBND, UBMT huyện, TX, TP;</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Báo PY, Đài PT-THPY;</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Trung tâm thông tin và Công báo tỉnh;</w:t>
            </w:r>
          </w:p>
          <w:p w:rsidR="00BA22AC" w:rsidRPr="00BA22AC" w:rsidRDefault="00BA22AC" w:rsidP="00BA22AC">
            <w:pPr>
              <w:rPr>
                <w:rFonts w:ascii="Times New Roman" w:hAnsi="Times New Roman"/>
                <w:sz w:val="22"/>
                <w:lang w:val="pt-BR"/>
              </w:rPr>
            </w:pPr>
            <w:r w:rsidRPr="00BA22AC">
              <w:rPr>
                <w:rFonts w:ascii="Times New Roman" w:hAnsi="Times New Roman"/>
                <w:sz w:val="22"/>
                <w:lang w:val="pt-BR"/>
              </w:rPr>
              <w:t>- Trang TTĐT HĐND tỉnh;</w:t>
            </w:r>
          </w:p>
          <w:p w:rsidR="00BA22AC" w:rsidRPr="00BA22AC" w:rsidRDefault="00BA22AC" w:rsidP="00BA22AC">
            <w:pPr>
              <w:jc w:val="both"/>
              <w:rPr>
                <w:rFonts w:ascii="Times New Roman" w:hAnsi="Times New Roman"/>
                <w:sz w:val="22"/>
                <w:szCs w:val="22"/>
              </w:rPr>
            </w:pPr>
            <w:r w:rsidRPr="00BA22AC">
              <w:rPr>
                <w:rFonts w:ascii="Times New Roman" w:hAnsi="Times New Roman"/>
                <w:sz w:val="22"/>
                <w:lang w:val="pt-BR"/>
              </w:rPr>
              <w:t>- Lưu: VT, HSKH</w:t>
            </w:r>
            <w:r>
              <w:rPr>
                <w:rFonts w:ascii="Times New Roman" w:hAnsi="Times New Roman"/>
                <w:sz w:val="22"/>
                <w:lang w:val="pt-BR"/>
              </w:rPr>
              <w:t>.</w:t>
            </w:r>
          </w:p>
          <w:p w:rsidR="00AC1874" w:rsidRPr="00BA22AC" w:rsidRDefault="00AC1874" w:rsidP="00BA22AC">
            <w:pPr>
              <w:jc w:val="both"/>
              <w:rPr>
                <w:rFonts w:ascii="Times New Roman" w:hAnsi="Times New Roman"/>
                <w:bCs/>
                <w:sz w:val="22"/>
              </w:rPr>
            </w:pPr>
          </w:p>
        </w:tc>
        <w:tc>
          <w:tcPr>
            <w:tcW w:w="4718" w:type="dxa"/>
          </w:tcPr>
          <w:p w:rsidR="00AC1874" w:rsidRPr="00122BCD" w:rsidRDefault="00AC1874" w:rsidP="00DF4D88">
            <w:pPr>
              <w:widowControl w:val="0"/>
              <w:spacing w:before="60" w:after="60" w:line="264" w:lineRule="auto"/>
              <w:jc w:val="center"/>
              <w:rPr>
                <w:rFonts w:ascii="Times New Roman" w:hAnsi="Times New Roman"/>
                <w:b/>
                <w:sz w:val="28"/>
                <w:lang w:val="vi-VN"/>
              </w:rPr>
            </w:pPr>
            <w:r w:rsidRPr="00122BCD">
              <w:rPr>
                <w:rFonts w:ascii="Times New Roman" w:hAnsi="Times New Roman"/>
                <w:b/>
                <w:sz w:val="28"/>
                <w:lang w:val="vi-VN"/>
              </w:rPr>
              <w:t>CHỦ TỊCH</w:t>
            </w:r>
          </w:p>
          <w:p w:rsidR="00AC1874" w:rsidRPr="00122BCD" w:rsidRDefault="00AC1874" w:rsidP="00DF4D88">
            <w:pPr>
              <w:widowControl w:val="0"/>
              <w:spacing w:before="60" w:after="60" w:line="264" w:lineRule="auto"/>
              <w:jc w:val="center"/>
              <w:rPr>
                <w:rFonts w:ascii="Times New Roman" w:hAnsi="Times New Roman"/>
                <w:b/>
                <w:sz w:val="28"/>
                <w:lang w:val="vi-VN"/>
              </w:rPr>
            </w:pPr>
          </w:p>
          <w:p w:rsidR="00AC1874" w:rsidRPr="00122BCD" w:rsidRDefault="00AC1874" w:rsidP="00DF4D88">
            <w:pPr>
              <w:widowControl w:val="0"/>
              <w:spacing w:before="60" w:after="60" w:line="264" w:lineRule="auto"/>
              <w:jc w:val="center"/>
              <w:rPr>
                <w:rFonts w:ascii="Times New Roman" w:hAnsi="Times New Roman"/>
                <w:b/>
                <w:sz w:val="28"/>
                <w:lang w:val="vi-VN"/>
              </w:rPr>
            </w:pPr>
          </w:p>
          <w:p w:rsidR="00AC1874" w:rsidRPr="00451349" w:rsidRDefault="004D1C76" w:rsidP="00DF4D88">
            <w:pPr>
              <w:widowControl w:val="0"/>
              <w:spacing w:before="60" w:after="60" w:line="264" w:lineRule="auto"/>
              <w:rPr>
                <w:rFonts w:ascii="Times New Roman" w:hAnsi="Times New Roman"/>
                <w:b/>
                <w:sz w:val="28"/>
              </w:rPr>
            </w:pPr>
            <w:r>
              <w:rPr>
                <w:rFonts w:ascii="Times New Roman" w:hAnsi="Times New Roman"/>
                <w:b/>
                <w:sz w:val="28"/>
              </w:rPr>
              <w:t xml:space="preserve">                       </w:t>
            </w:r>
            <w:r w:rsidR="00451349">
              <w:rPr>
                <w:rFonts w:ascii="Times New Roman" w:hAnsi="Times New Roman"/>
                <w:b/>
                <w:sz w:val="28"/>
              </w:rPr>
              <w:t xml:space="preserve">  Đã ký</w:t>
            </w:r>
          </w:p>
          <w:p w:rsidR="00AC1874" w:rsidRPr="00122BCD" w:rsidRDefault="00AC1874" w:rsidP="00DF4D88">
            <w:pPr>
              <w:widowControl w:val="0"/>
              <w:spacing w:before="60" w:after="60" w:line="264" w:lineRule="auto"/>
              <w:rPr>
                <w:rFonts w:ascii="Times New Roman" w:hAnsi="Times New Roman"/>
                <w:b/>
                <w:sz w:val="28"/>
                <w:lang w:val="vi-VN"/>
              </w:rPr>
            </w:pPr>
          </w:p>
          <w:p w:rsidR="00AC1874" w:rsidRPr="00122BCD" w:rsidRDefault="00AC1874" w:rsidP="00DF4D88">
            <w:pPr>
              <w:widowControl w:val="0"/>
              <w:spacing w:before="60" w:after="60" w:line="264" w:lineRule="auto"/>
              <w:jc w:val="center"/>
              <w:rPr>
                <w:rFonts w:ascii="Times New Roman" w:hAnsi="Times New Roman"/>
                <w:b/>
                <w:sz w:val="28"/>
                <w:lang w:val="vi-VN"/>
              </w:rPr>
            </w:pPr>
          </w:p>
          <w:p w:rsidR="00AC1874" w:rsidRPr="00122BCD" w:rsidRDefault="00AC1874" w:rsidP="00DF4D88">
            <w:pPr>
              <w:widowControl w:val="0"/>
              <w:spacing w:before="60" w:after="60" w:line="264" w:lineRule="auto"/>
              <w:jc w:val="center"/>
              <w:rPr>
                <w:rFonts w:ascii="Times New Roman" w:hAnsi="Times New Roman"/>
                <w:b/>
                <w:sz w:val="28"/>
                <w:lang w:val="vi-VN"/>
              </w:rPr>
            </w:pPr>
          </w:p>
          <w:p w:rsidR="00AC1874" w:rsidRPr="00122BCD" w:rsidRDefault="00AC1874" w:rsidP="00DF4D88">
            <w:pPr>
              <w:widowControl w:val="0"/>
              <w:spacing w:before="60" w:after="60" w:line="264" w:lineRule="auto"/>
              <w:jc w:val="center"/>
              <w:rPr>
                <w:rFonts w:ascii="Times New Roman" w:hAnsi="Times New Roman"/>
                <w:sz w:val="28"/>
                <w:lang w:val="vi-VN"/>
              </w:rPr>
            </w:pPr>
            <w:r w:rsidRPr="00122BCD">
              <w:rPr>
                <w:rFonts w:ascii="Times New Roman" w:hAnsi="Times New Roman"/>
                <w:b/>
                <w:sz w:val="28"/>
                <w:szCs w:val="28"/>
                <w:lang w:val="vi-VN"/>
              </w:rPr>
              <w:t>Huỳnh Tấn Việt</w:t>
            </w:r>
          </w:p>
        </w:tc>
      </w:tr>
      <w:tr w:rsidR="00451349" w:rsidRPr="00122BCD" w:rsidTr="00AC1874">
        <w:tc>
          <w:tcPr>
            <w:tcW w:w="4717" w:type="dxa"/>
          </w:tcPr>
          <w:p w:rsidR="00451349" w:rsidRPr="00F65A40" w:rsidRDefault="00451349" w:rsidP="00DF4D88">
            <w:pPr>
              <w:spacing w:after="120"/>
              <w:jc w:val="both"/>
              <w:rPr>
                <w:b/>
                <w:i/>
                <w:szCs w:val="24"/>
              </w:rPr>
            </w:pPr>
          </w:p>
        </w:tc>
        <w:tc>
          <w:tcPr>
            <w:tcW w:w="4718" w:type="dxa"/>
          </w:tcPr>
          <w:p w:rsidR="00451349" w:rsidRPr="00122BCD" w:rsidRDefault="00451349" w:rsidP="00DF4D88">
            <w:pPr>
              <w:widowControl w:val="0"/>
              <w:spacing w:before="60" w:after="60" w:line="264" w:lineRule="auto"/>
              <w:jc w:val="center"/>
              <w:rPr>
                <w:b/>
                <w:sz w:val="28"/>
                <w:lang w:val="vi-VN"/>
              </w:rPr>
            </w:pPr>
          </w:p>
        </w:tc>
      </w:tr>
    </w:tbl>
    <w:p w:rsidR="00C9471E" w:rsidRPr="00122BCD" w:rsidRDefault="00C9471E">
      <w:pPr>
        <w:rPr>
          <w:lang w:val="vi-VN"/>
        </w:rPr>
      </w:pPr>
    </w:p>
    <w:sectPr w:rsidR="00C9471E" w:rsidRPr="00122BCD" w:rsidSect="00B45D41">
      <w:headerReference w:type="default" r:id="rId6"/>
      <w:pgSz w:w="11907" w:h="16840" w:code="9"/>
      <w:pgMar w:top="1152" w:right="1152" w:bottom="1008" w:left="172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5D" w:rsidRDefault="008C6D5D" w:rsidP="00643DC4">
      <w:pPr>
        <w:spacing w:after="0" w:line="240" w:lineRule="auto"/>
      </w:pPr>
      <w:r>
        <w:separator/>
      </w:r>
    </w:p>
  </w:endnote>
  <w:endnote w:type="continuationSeparator" w:id="0">
    <w:p w:rsidR="008C6D5D" w:rsidRDefault="008C6D5D" w:rsidP="0064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5D" w:rsidRDefault="008C6D5D" w:rsidP="00643DC4">
      <w:pPr>
        <w:spacing w:after="0" w:line="240" w:lineRule="auto"/>
      </w:pPr>
      <w:r>
        <w:separator/>
      </w:r>
    </w:p>
  </w:footnote>
  <w:footnote w:type="continuationSeparator" w:id="0">
    <w:p w:rsidR="008C6D5D" w:rsidRDefault="008C6D5D" w:rsidP="00643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54204"/>
      <w:docPartObj>
        <w:docPartGallery w:val="Page Numbers (Top of Page)"/>
        <w:docPartUnique/>
      </w:docPartObj>
    </w:sdtPr>
    <w:sdtEndPr>
      <w:rPr>
        <w:noProof/>
      </w:rPr>
    </w:sdtEndPr>
    <w:sdtContent>
      <w:p w:rsidR="00643DC4" w:rsidRDefault="00643DC4">
        <w:pPr>
          <w:pStyle w:val="Header"/>
          <w:jc w:val="center"/>
        </w:pPr>
        <w:r>
          <w:fldChar w:fldCharType="begin"/>
        </w:r>
        <w:r>
          <w:instrText xml:space="preserve"> PAGE   \* MERGEFORMAT </w:instrText>
        </w:r>
        <w:r>
          <w:fldChar w:fldCharType="separate"/>
        </w:r>
        <w:r w:rsidR="00873471">
          <w:rPr>
            <w:noProof/>
          </w:rPr>
          <w:t>2</w:t>
        </w:r>
        <w:r>
          <w:rPr>
            <w:noProof/>
          </w:rPr>
          <w:fldChar w:fldCharType="end"/>
        </w:r>
      </w:p>
    </w:sdtContent>
  </w:sdt>
  <w:p w:rsidR="00643DC4" w:rsidRDefault="00643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74"/>
    <w:rsid w:val="00056927"/>
    <w:rsid w:val="00120AB6"/>
    <w:rsid w:val="00122BCD"/>
    <w:rsid w:val="001618AF"/>
    <w:rsid w:val="00194623"/>
    <w:rsid w:val="001C7234"/>
    <w:rsid w:val="00221252"/>
    <w:rsid w:val="00250B6A"/>
    <w:rsid w:val="002E213D"/>
    <w:rsid w:val="00320CA5"/>
    <w:rsid w:val="003270E7"/>
    <w:rsid w:val="004128EE"/>
    <w:rsid w:val="00451349"/>
    <w:rsid w:val="004D1C76"/>
    <w:rsid w:val="00512A6A"/>
    <w:rsid w:val="00541C38"/>
    <w:rsid w:val="00594BBC"/>
    <w:rsid w:val="00643266"/>
    <w:rsid w:val="00643DC4"/>
    <w:rsid w:val="00873471"/>
    <w:rsid w:val="008C6D5D"/>
    <w:rsid w:val="00995FCC"/>
    <w:rsid w:val="009B06A5"/>
    <w:rsid w:val="00AC1874"/>
    <w:rsid w:val="00B45D41"/>
    <w:rsid w:val="00BA22AC"/>
    <w:rsid w:val="00BF1479"/>
    <w:rsid w:val="00C1339D"/>
    <w:rsid w:val="00C13428"/>
    <w:rsid w:val="00C56C3F"/>
    <w:rsid w:val="00C826F2"/>
    <w:rsid w:val="00C9471E"/>
    <w:rsid w:val="00D15BAC"/>
    <w:rsid w:val="00DD4CFF"/>
    <w:rsid w:val="00E43772"/>
    <w:rsid w:val="00E64CEF"/>
    <w:rsid w:val="00F669A7"/>
    <w:rsid w:val="00F95184"/>
    <w:rsid w:val="00FB3E85"/>
    <w:rsid w:val="00FD5BE7"/>
    <w:rsid w:val="00FD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70CE1-EFDF-4D30-8C21-2C9E8465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8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2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EE"/>
    <w:rPr>
      <w:rFonts w:ascii="Tahoma" w:hAnsi="Tahoma" w:cs="Tahoma"/>
      <w:sz w:val="16"/>
      <w:szCs w:val="16"/>
    </w:rPr>
  </w:style>
  <w:style w:type="paragraph" w:styleId="Header">
    <w:name w:val="header"/>
    <w:basedOn w:val="Normal"/>
    <w:link w:val="HeaderChar"/>
    <w:uiPriority w:val="99"/>
    <w:unhideWhenUsed/>
    <w:rsid w:val="0064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C4"/>
  </w:style>
  <w:style w:type="paragraph" w:styleId="Footer">
    <w:name w:val="footer"/>
    <w:basedOn w:val="Normal"/>
    <w:link w:val="FooterChar"/>
    <w:uiPriority w:val="99"/>
    <w:unhideWhenUsed/>
    <w:rsid w:val="00643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QUYNH</cp:lastModifiedBy>
  <cp:revision>24</cp:revision>
  <cp:lastPrinted>2017-07-11T00:59:00Z</cp:lastPrinted>
  <dcterms:created xsi:type="dcterms:W3CDTF">2017-07-15T03:16:00Z</dcterms:created>
  <dcterms:modified xsi:type="dcterms:W3CDTF">2017-07-24T08:36:00Z</dcterms:modified>
</cp:coreProperties>
</file>